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52176">
        <w:rPr>
          <w:rFonts w:ascii="Times New Roman" w:eastAsia="Times New Roman" w:hAnsi="Times New Roman" w:cs="Times New Roman"/>
          <w:sz w:val="24"/>
          <w:szCs w:val="24"/>
        </w:rPr>
        <w:t>October 22</w:t>
      </w:r>
      <w:r>
        <w:rPr>
          <w:rFonts w:ascii="Times New Roman" w:eastAsia="Times New Roman" w:hAnsi="Times New Roman" w:cs="Times New Roman"/>
          <w:sz w:val="24"/>
          <w:szCs w:val="24"/>
        </w:rPr>
        <w:t>, 2013</w:t>
      </w:r>
    </w:p>
    <w:p w:rsidR="00B03CA5" w:rsidRDefault="00B03CA5" w:rsidP="00B03CA5">
      <w:pPr>
        <w:spacing w:after="0" w:line="240" w:lineRule="auto"/>
        <w:rPr>
          <w:rFonts w:ascii="Times New Roman" w:eastAsia="Times New Roman" w:hAnsi="Times New Roman" w:cs="Times New Roman"/>
          <w:sz w:val="24"/>
          <w:szCs w:val="24"/>
        </w:rPr>
      </w:pPr>
    </w:p>
    <w:p w:rsidR="00B03CA5" w:rsidRPr="00A52176"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52176">
        <w:rPr>
          <w:rFonts w:ascii="Times New Roman" w:eastAsia="Times New Roman" w:hAnsi="Times New Roman" w:cs="Times New Roman"/>
          <w:b/>
          <w:sz w:val="24"/>
          <w:szCs w:val="24"/>
        </w:rPr>
        <w:tab/>
      </w:r>
      <w:r w:rsidR="00A52176" w:rsidRPr="00A52176">
        <w:rPr>
          <w:rFonts w:ascii="Times New Roman" w:eastAsia="Times New Roman" w:hAnsi="Times New Roman" w:cs="Times New Roman"/>
          <w:sz w:val="24"/>
          <w:szCs w:val="24"/>
        </w:rPr>
        <w:t>All Escrow Personnel</w:t>
      </w:r>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71801">
        <w:rPr>
          <w:rFonts w:ascii="Times New Roman" w:eastAsia="Times New Roman" w:hAnsi="Times New Roman" w:cs="Times New Roman"/>
          <w:b/>
          <w:sz w:val="24"/>
          <w:szCs w:val="24"/>
        </w:rPr>
        <w:t>DOUBLE ESCROWS AND FLIPS</w:t>
      </w:r>
    </w:p>
    <w:p w:rsidR="00B03CA5" w:rsidRDefault="00B03CA5" w:rsidP="00B03CA5">
      <w:pPr>
        <w:spacing w:after="0" w:line="240" w:lineRule="auto"/>
        <w:rPr>
          <w:rFonts w:ascii="Times New Roman" w:eastAsia="Times New Roman" w:hAnsi="Times New Roman" w:cs="Times New Roman"/>
          <w:b/>
          <w:sz w:val="24"/>
          <w:szCs w:val="24"/>
        </w:rPr>
      </w:pPr>
    </w:p>
    <w:p w:rsidR="00B97BD7" w:rsidRDefault="00B97BD7" w:rsidP="00B03CA5">
      <w:pPr>
        <w:spacing w:after="0" w:line="240" w:lineRule="auto"/>
        <w:rPr>
          <w:rFonts w:ascii="Times New Roman" w:eastAsia="Times New Roman" w:hAnsi="Times New Roman" w:cs="Times New Roman"/>
          <w:b/>
          <w:sz w:val="24"/>
          <w:szCs w:val="24"/>
        </w:rPr>
      </w:pPr>
    </w:p>
    <w:p w:rsidR="00B03CA5" w:rsidRDefault="00F3053C"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recently been </w:t>
      </w:r>
      <w:r w:rsidR="00A71801">
        <w:rPr>
          <w:rFonts w:ascii="Times New Roman" w:eastAsia="Times New Roman" w:hAnsi="Times New Roman" w:cs="Times New Roman"/>
          <w:sz w:val="24"/>
          <w:szCs w:val="24"/>
        </w:rPr>
        <w:t>an increase in the use of “double escrows”, often in connection with “flip” transactions. Because there has been considerable litigation in this area and fraud actions have been brought against those who structure and/or close double escrows, including title companies,</w:t>
      </w:r>
      <w:r>
        <w:rPr>
          <w:rFonts w:ascii="Times New Roman" w:eastAsia="Times New Roman" w:hAnsi="Times New Roman" w:cs="Times New Roman"/>
          <w:sz w:val="24"/>
          <w:szCs w:val="24"/>
        </w:rPr>
        <w:t xml:space="preserve"> </w:t>
      </w:r>
      <w:r w:rsidR="00A71801">
        <w:rPr>
          <w:rFonts w:ascii="Times New Roman" w:eastAsia="Times New Roman" w:hAnsi="Times New Roman" w:cs="Times New Roman"/>
          <w:sz w:val="24"/>
          <w:szCs w:val="24"/>
        </w:rPr>
        <w:t xml:space="preserve">the </w:t>
      </w:r>
      <w:r w:rsidR="00B97BD7" w:rsidRPr="00B97BD7">
        <w:rPr>
          <w:rFonts w:ascii="Times New Roman" w:eastAsia="Times New Roman" w:hAnsi="Times New Roman" w:cs="Times New Roman"/>
          <w:sz w:val="24"/>
          <w:szCs w:val="24"/>
        </w:rPr>
        <w:t xml:space="preserve">purpose of this Bulletin is to provide standard guidelines for insuring </w:t>
      </w:r>
      <w:r w:rsidR="00A71801">
        <w:rPr>
          <w:rFonts w:ascii="Times New Roman" w:eastAsia="Times New Roman" w:hAnsi="Times New Roman" w:cs="Times New Roman"/>
          <w:sz w:val="24"/>
          <w:szCs w:val="24"/>
        </w:rPr>
        <w:t>transactions involving double escrows.</w:t>
      </w:r>
    </w:p>
    <w:p w:rsidR="00A71801" w:rsidRDefault="00A71801" w:rsidP="00B03CA5">
      <w:pPr>
        <w:spacing w:after="0" w:line="240" w:lineRule="auto"/>
        <w:rPr>
          <w:rFonts w:ascii="Times New Roman" w:eastAsia="Times New Roman" w:hAnsi="Times New Roman" w:cs="Times New Roman"/>
          <w:sz w:val="24"/>
          <w:szCs w:val="24"/>
        </w:rPr>
      </w:pPr>
    </w:p>
    <w:p w:rsidR="00B97BD7" w:rsidRDefault="00A71801" w:rsidP="00B03CA5">
      <w:pPr>
        <w:spacing w:after="0" w:line="240" w:lineRule="auto"/>
        <w:rPr>
          <w:rFonts w:ascii="Times New Roman" w:hAnsi="Times New Roman" w:cs="Times New Roman"/>
          <w:sz w:val="24"/>
          <w:szCs w:val="24"/>
        </w:rPr>
      </w:pPr>
      <w:r>
        <w:rPr>
          <w:rFonts w:ascii="Times New Roman" w:hAnsi="Times New Roman" w:cs="Times New Roman"/>
          <w:bCs/>
          <w:sz w:val="24"/>
          <w:szCs w:val="24"/>
          <w:lang w:val="en"/>
        </w:rPr>
        <w:t>As used in this Bulletin, a “d</w:t>
      </w:r>
      <w:r w:rsidRPr="00A71801">
        <w:rPr>
          <w:rFonts w:ascii="Times New Roman" w:hAnsi="Times New Roman" w:cs="Times New Roman"/>
          <w:bCs/>
          <w:sz w:val="24"/>
          <w:szCs w:val="24"/>
          <w:lang w:val="en"/>
        </w:rPr>
        <w:t>ouble escrow</w:t>
      </w:r>
      <w:r>
        <w:rPr>
          <w:rFonts w:ascii="Times New Roman" w:hAnsi="Times New Roman" w:cs="Times New Roman"/>
          <w:bCs/>
          <w:sz w:val="24"/>
          <w:szCs w:val="24"/>
          <w:lang w:val="en"/>
        </w:rPr>
        <w:t>”</w:t>
      </w:r>
      <w:r w:rsidRPr="00A71801">
        <w:rPr>
          <w:rFonts w:ascii="Times New Roman" w:hAnsi="Times New Roman" w:cs="Times New Roman"/>
          <w:sz w:val="24"/>
          <w:szCs w:val="24"/>
          <w:lang w:val="en"/>
        </w:rPr>
        <w:t xml:space="preserve"> is a </w:t>
      </w:r>
      <w:r>
        <w:rPr>
          <w:rFonts w:ascii="Times New Roman" w:hAnsi="Times New Roman" w:cs="Times New Roman"/>
          <w:sz w:val="24"/>
          <w:szCs w:val="24"/>
        </w:rPr>
        <w:t xml:space="preserve">pair of </w:t>
      </w:r>
      <w:r w:rsidR="00D37D78">
        <w:rPr>
          <w:rFonts w:ascii="Times New Roman" w:hAnsi="Times New Roman" w:cs="Times New Roman"/>
          <w:sz w:val="24"/>
          <w:szCs w:val="24"/>
        </w:rPr>
        <w:t>escrows in which P</w:t>
      </w:r>
      <w:r w:rsidRPr="00A71801">
        <w:rPr>
          <w:rFonts w:ascii="Times New Roman" w:hAnsi="Times New Roman" w:cs="Times New Roman"/>
          <w:sz w:val="24"/>
          <w:szCs w:val="24"/>
        </w:rPr>
        <w:t xml:space="preserve">arty A agrees to </w:t>
      </w:r>
      <w:r w:rsidR="007F286B">
        <w:rPr>
          <w:rFonts w:ascii="Times New Roman" w:hAnsi="Times New Roman" w:cs="Times New Roman"/>
          <w:sz w:val="24"/>
          <w:szCs w:val="24"/>
        </w:rPr>
        <w:t>(</w:t>
      </w:r>
      <w:proofErr w:type="spellStart"/>
      <w:r w:rsidR="007F286B">
        <w:rPr>
          <w:rFonts w:ascii="Times New Roman" w:hAnsi="Times New Roman" w:cs="Times New Roman"/>
          <w:sz w:val="24"/>
          <w:szCs w:val="24"/>
        </w:rPr>
        <w:t>i</w:t>
      </w:r>
      <w:proofErr w:type="spellEnd"/>
      <w:r w:rsidR="007F286B">
        <w:rPr>
          <w:rFonts w:ascii="Times New Roman" w:hAnsi="Times New Roman" w:cs="Times New Roman"/>
          <w:sz w:val="24"/>
          <w:szCs w:val="24"/>
        </w:rPr>
        <w:t xml:space="preserve">) </w:t>
      </w:r>
      <w:r w:rsidRPr="00A71801">
        <w:rPr>
          <w:rFonts w:ascii="Times New Roman" w:hAnsi="Times New Roman" w:cs="Times New Roman"/>
          <w:sz w:val="24"/>
          <w:szCs w:val="24"/>
        </w:rPr>
        <w:t>purchase property ow</w:t>
      </w:r>
      <w:r w:rsidR="00D37D78">
        <w:rPr>
          <w:rFonts w:ascii="Times New Roman" w:hAnsi="Times New Roman" w:cs="Times New Roman"/>
          <w:sz w:val="24"/>
          <w:szCs w:val="24"/>
        </w:rPr>
        <w:t>ned by Party B</w:t>
      </w:r>
      <w:r w:rsidR="007F286B">
        <w:rPr>
          <w:rFonts w:ascii="Times New Roman" w:hAnsi="Times New Roman" w:cs="Times New Roman"/>
          <w:sz w:val="24"/>
          <w:szCs w:val="24"/>
        </w:rPr>
        <w:t xml:space="preserve"> using one escrow, </w:t>
      </w:r>
      <w:r w:rsidRPr="00A71801">
        <w:rPr>
          <w:rFonts w:ascii="Times New Roman" w:hAnsi="Times New Roman" w:cs="Times New Roman"/>
          <w:sz w:val="24"/>
          <w:szCs w:val="24"/>
        </w:rPr>
        <w:t xml:space="preserve">and </w:t>
      </w:r>
      <w:r w:rsidR="007F286B">
        <w:rPr>
          <w:rFonts w:ascii="Times New Roman" w:hAnsi="Times New Roman" w:cs="Times New Roman"/>
          <w:sz w:val="24"/>
          <w:szCs w:val="24"/>
        </w:rPr>
        <w:t>(ii) simultaneously</w:t>
      </w:r>
      <w:r w:rsidR="00B63F70">
        <w:rPr>
          <w:rFonts w:ascii="Times New Roman" w:hAnsi="Times New Roman" w:cs="Times New Roman"/>
          <w:sz w:val="24"/>
          <w:szCs w:val="24"/>
        </w:rPr>
        <w:t xml:space="preserve"> (or within a very short period of time)</w:t>
      </w:r>
      <w:r w:rsidRPr="00A71801">
        <w:rPr>
          <w:rFonts w:ascii="Times New Roman" w:hAnsi="Times New Roman" w:cs="Times New Roman"/>
          <w:sz w:val="24"/>
          <w:szCs w:val="24"/>
        </w:rPr>
        <w:t xml:space="preserve"> sell the </w:t>
      </w:r>
      <w:r>
        <w:rPr>
          <w:rFonts w:ascii="Times New Roman" w:hAnsi="Times New Roman" w:cs="Times New Roman"/>
          <w:sz w:val="24"/>
          <w:szCs w:val="24"/>
        </w:rPr>
        <w:t xml:space="preserve">same </w:t>
      </w:r>
      <w:r w:rsidR="00D37D78">
        <w:rPr>
          <w:rFonts w:ascii="Times New Roman" w:hAnsi="Times New Roman" w:cs="Times New Roman"/>
          <w:sz w:val="24"/>
          <w:szCs w:val="24"/>
        </w:rPr>
        <w:t>property to P</w:t>
      </w:r>
      <w:r w:rsidRPr="00A71801">
        <w:rPr>
          <w:rFonts w:ascii="Times New Roman" w:hAnsi="Times New Roman" w:cs="Times New Roman"/>
          <w:sz w:val="24"/>
          <w:szCs w:val="24"/>
        </w:rPr>
        <w:t>arty C at a higher price using a separate escrow.</w:t>
      </w:r>
      <w:r w:rsidR="00645710">
        <w:rPr>
          <w:rFonts w:ascii="Times New Roman" w:hAnsi="Times New Roman" w:cs="Times New Roman"/>
          <w:sz w:val="24"/>
          <w:szCs w:val="24"/>
        </w:rPr>
        <w:t xml:space="preserve"> Likewise, a “flip” is a transaction in which a property is purchased and quickly resold for a profit.</w:t>
      </w:r>
    </w:p>
    <w:p w:rsidR="00971583" w:rsidRDefault="00971583" w:rsidP="00B03CA5">
      <w:pPr>
        <w:spacing w:after="0" w:line="240" w:lineRule="auto"/>
        <w:rPr>
          <w:rFonts w:ascii="Times New Roman" w:hAnsi="Times New Roman" w:cs="Times New Roman"/>
          <w:sz w:val="24"/>
          <w:szCs w:val="24"/>
        </w:rPr>
      </w:pPr>
    </w:p>
    <w:p w:rsidR="00645710" w:rsidRDefault="00971583" w:rsidP="00B03C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course, not all </w:t>
      </w:r>
      <w:r w:rsidR="003359B1">
        <w:rPr>
          <w:rFonts w:ascii="Times New Roman" w:hAnsi="Times New Roman" w:cs="Times New Roman"/>
          <w:sz w:val="24"/>
          <w:szCs w:val="24"/>
        </w:rPr>
        <w:t>transactions in which property turns over quickly</w:t>
      </w:r>
      <w:r>
        <w:rPr>
          <w:rFonts w:ascii="Times New Roman" w:hAnsi="Times New Roman" w:cs="Times New Roman"/>
          <w:sz w:val="24"/>
          <w:szCs w:val="24"/>
        </w:rPr>
        <w:t xml:space="preserve"> are fraudulent. Some examples of such transactions that typically </w:t>
      </w:r>
      <w:r w:rsidRPr="00EE4A43">
        <w:rPr>
          <w:rFonts w:ascii="Times New Roman" w:hAnsi="Times New Roman" w:cs="Times New Roman"/>
          <w:sz w:val="24"/>
          <w:szCs w:val="24"/>
          <w:u w:val="single"/>
        </w:rPr>
        <w:t>are</w:t>
      </w:r>
      <w:r>
        <w:rPr>
          <w:rFonts w:ascii="Times New Roman" w:hAnsi="Times New Roman" w:cs="Times New Roman"/>
          <w:sz w:val="24"/>
          <w:szCs w:val="24"/>
        </w:rPr>
        <w:t xml:space="preserve"> legitimate include sales of property obtained through an inheritance, that is part of a settlement in a </w:t>
      </w:r>
      <w:r w:rsidR="001763B6">
        <w:rPr>
          <w:rFonts w:ascii="Times New Roman" w:hAnsi="Times New Roman" w:cs="Times New Roman"/>
          <w:sz w:val="24"/>
          <w:szCs w:val="24"/>
        </w:rPr>
        <w:t>divorce</w:t>
      </w:r>
      <w:r>
        <w:rPr>
          <w:rFonts w:ascii="Times New Roman" w:hAnsi="Times New Roman" w:cs="Times New Roman"/>
          <w:sz w:val="24"/>
          <w:szCs w:val="24"/>
        </w:rPr>
        <w:t xml:space="preserve"> decree, that is part of an employer relocation program, or that is acquired </w:t>
      </w:r>
      <w:r w:rsidR="001763B6">
        <w:rPr>
          <w:rFonts w:ascii="Times New Roman" w:hAnsi="Times New Roman" w:cs="Times New Roman"/>
          <w:sz w:val="24"/>
          <w:szCs w:val="24"/>
        </w:rPr>
        <w:t>by a lender as a result of foreclosure.</w:t>
      </w:r>
    </w:p>
    <w:p w:rsidR="00201DBB" w:rsidRDefault="00201DBB" w:rsidP="00B03CA5">
      <w:pPr>
        <w:spacing w:after="0" w:line="240" w:lineRule="auto"/>
        <w:rPr>
          <w:rFonts w:ascii="Times New Roman" w:hAnsi="Times New Roman" w:cs="Times New Roman"/>
          <w:sz w:val="24"/>
          <w:szCs w:val="24"/>
        </w:rPr>
      </w:pPr>
    </w:p>
    <w:p w:rsidR="00201DBB" w:rsidRDefault="00645710" w:rsidP="00B03CA5">
      <w:pPr>
        <w:spacing w:after="0" w:line="240" w:lineRule="auto"/>
        <w:rPr>
          <w:rFonts w:ascii="Times New Roman" w:hAnsi="Times New Roman" w:cs="Times New Roman"/>
          <w:sz w:val="24"/>
          <w:szCs w:val="24"/>
        </w:rPr>
      </w:pPr>
      <w:r>
        <w:rPr>
          <w:rFonts w:ascii="Times New Roman" w:hAnsi="Times New Roman" w:cs="Times New Roman"/>
          <w:sz w:val="24"/>
          <w:szCs w:val="24"/>
        </w:rPr>
        <w:t>Nevertheless,</w:t>
      </w:r>
      <w:r w:rsidR="00201DBB">
        <w:rPr>
          <w:rFonts w:ascii="Times New Roman" w:hAnsi="Times New Roman" w:cs="Times New Roman"/>
          <w:sz w:val="24"/>
          <w:szCs w:val="24"/>
        </w:rPr>
        <w:t xml:space="preserve"> </w:t>
      </w:r>
      <w:r>
        <w:rPr>
          <w:rFonts w:ascii="Times New Roman" w:hAnsi="Times New Roman" w:cs="Times New Roman"/>
          <w:sz w:val="24"/>
          <w:szCs w:val="24"/>
        </w:rPr>
        <w:t>while not inherently</w:t>
      </w:r>
      <w:r w:rsidR="00201DBB">
        <w:rPr>
          <w:rFonts w:ascii="Times New Roman" w:hAnsi="Times New Roman" w:cs="Times New Roman"/>
          <w:sz w:val="24"/>
          <w:szCs w:val="24"/>
        </w:rPr>
        <w:t xml:space="preserve"> fraudulent, </w:t>
      </w:r>
      <w:r>
        <w:rPr>
          <w:rFonts w:ascii="Times New Roman" w:hAnsi="Times New Roman" w:cs="Times New Roman"/>
          <w:sz w:val="24"/>
          <w:szCs w:val="24"/>
        </w:rPr>
        <w:t>double escrows</w:t>
      </w:r>
      <w:r w:rsidR="00201DBB">
        <w:rPr>
          <w:rFonts w:ascii="Times New Roman" w:hAnsi="Times New Roman" w:cs="Times New Roman"/>
          <w:sz w:val="24"/>
          <w:szCs w:val="24"/>
        </w:rPr>
        <w:t xml:space="preserve"> present </w:t>
      </w:r>
      <w:proofErr w:type="gramStart"/>
      <w:r w:rsidR="00201DBB">
        <w:rPr>
          <w:rFonts w:ascii="Times New Roman" w:hAnsi="Times New Roman" w:cs="Times New Roman"/>
          <w:sz w:val="24"/>
          <w:szCs w:val="24"/>
        </w:rPr>
        <w:t xml:space="preserve">an opportunity for fraud and </w:t>
      </w:r>
      <w:r w:rsidR="00BE0D88">
        <w:rPr>
          <w:rFonts w:ascii="Times New Roman" w:hAnsi="Times New Roman" w:cs="Times New Roman"/>
          <w:sz w:val="24"/>
          <w:szCs w:val="24"/>
        </w:rPr>
        <w:t xml:space="preserve">for that reason </w:t>
      </w:r>
      <w:r w:rsidR="00201DBB">
        <w:rPr>
          <w:rFonts w:ascii="Times New Roman" w:hAnsi="Times New Roman" w:cs="Times New Roman"/>
          <w:sz w:val="24"/>
          <w:szCs w:val="24"/>
        </w:rPr>
        <w:t>are</w:t>
      </w:r>
      <w:proofErr w:type="gramEnd"/>
      <w:r w:rsidR="00201DBB">
        <w:rPr>
          <w:rFonts w:ascii="Times New Roman" w:hAnsi="Times New Roman" w:cs="Times New Roman"/>
          <w:sz w:val="24"/>
          <w:szCs w:val="24"/>
        </w:rPr>
        <w:t xml:space="preserve"> </w:t>
      </w:r>
      <w:r w:rsidR="001763B6">
        <w:rPr>
          <w:rFonts w:ascii="Times New Roman" w:hAnsi="Times New Roman" w:cs="Times New Roman"/>
          <w:sz w:val="24"/>
          <w:szCs w:val="24"/>
        </w:rPr>
        <w:t>to be considered high liability transactions</w:t>
      </w:r>
      <w:r w:rsidR="00BE0D88">
        <w:rPr>
          <w:rFonts w:ascii="Times New Roman" w:hAnsi="Times New Roman" w:cs="Times New Roman"/>
          <w:sz w:val="24"/>
          <w:szCs w:val="24"/>
        </w:rPr>
        <w:t>. Some examples of fraud</w:t>
      </w:r>
      <w:r w:rsidR="00201DBB">
        <w:rPr>
          <w:rFonts w:ascii="Times New Roman" w:hAnsi="Times New Roman" w:cs="Times New Roman"/>
          <w:sz w:val="24"/>
          <w:szCs w:val="24"/>
        </w:rPr>
        <w:t xml:space="preserve"> </w:t>
      </w:r>
      <w:r w:rsidR="00BE0D88">
        <w:rPr>
          <w:rFonts w:ascii="Times New Roman" w:hAnsi="Times New Roman" w:cs="Times New Roman"/>
          <w:sz w:val="24"/>
          <w:szCs w:val="24"/>
        </w:rPr>
        <w:t>in double escrow transactions include</w:t>
      </w:r>
      <w:r w:rsidR="00201DBB">
        <w:rPr>
          <w:rFonts w:ascii="Times New Roman" w:hAnsi="Times New Roman" w:cs="Times New Roman"/>
          <w:sz w:val="24"/>
          <w:szCs w:val="24"/>
        </w:rPr>
        <w:t xml:space="preserve"> the possibility that (</w:t>
      </w:r>
      <w:proofErr w:type="spellStart"/>
      <w:r w:rsidR="00201DBB">
        <w:rPr>
          <w:rFonts w:ascii="Times New Roman" w:hAnsi="Times New Roman" w:cs="Times New Roman"/>
          <w:sz w:val="24"/>
          <w:szCs w:val="24"/>
        </w:rPr>
        <w:t>i</w:t>
      </w:r>
      <w:proofErr w:type="spellEnd"/>
      <w:r w:rsidR="00201DBB">
        <w:rPr>
          <w:rFonts w:ascii="Times New Roman" w:hAnsi="Times New Roman" w:cs="Times New Roman"/>
          <w:sz w:val="24"/>
          <w:szCs w:val="24"/>
        </w:rPr>
        <w:t>) the seller in the first escrow (Party B</w:t>
      </w:r>
      <w:r w:rsidR="00546A66">
        <w:rPr>
          <w:rFonts w:ascii="Times New Roman" w:hAnsi="Times New Roman" w:cs="Times New Roman"/>
          <w:sz w:val="24"/>
          <w:szCs w:val="24"/>
        </w:rPr>
        <w:t xml:space="preserve"> in the example above</w:t>
      </w:r>
      <w:r w:rsidR="00201DBB">
        <w:rPr>
          <w:rFonts w:ascii="Times New Roman" w:hAnsi="Times New Roman" w:cs="Times New Roman"/>
          <w:sz w:val="24"/>
          <w:szCs w:val="24"/>
        </w:rPr>
        <w:t>) has been deceived into selling the property for too little, (ii) the buyer in the second escrow (Party C</w:t>
      </w:r>
      <w:r w:rsidR="00546A66">
        <w:rPr>
          <w:rFonts w:ascii="Times New Roman" w:hAnsi="Times New Roman" w:cs="Times New Roman"/>
          <w:sz w:val="24"/>
          <w:szCs w:val="24"/>
        </w:rPr>
        <w:t xml:space="preserve"> in the example above</w:t>
      </w:r>
      <w:r w:rsidR="00201DBB">
        <w:rPr>
          <w:rFonts w:ascii="Times New Roman" w:hAnsi="Times New Roman" w:cs="Times New Roman"/>
          <w:sz w:val="24"/>
          <w:szCs w:val="24"/>
        </w:rPr>
        <w:t xml:space="preserve">) has been </w:t>
      </w:r>
      <w:r w:rsidR="00E54941">
        <w:rPr>
          <w:rFonts w:ascii="Times New Roman" w:hAnsi="Times New Roman" w:cs="Times New Roman"/>
          <w:sz w:val="24"/>
          <w:szCs w:val="24"/>
        </w:rPr>
        <w:t>misled</w:t>
      </w:r>
      <w:r w:rsidR="00201DBB">
        <w:rPr>
          <w:rFonts w:ascii="Times New Roman" w:hAnsi="Times New Roman" w:cs="Times New Roman"/>
          <w:sz w:val="24"/>
          <w:szCs w:val="24"/>
        </w:rPr>
        <w:t xml:space="preserve"> into purchasing the property for too much, (iii) a short sale lender in the first escrow has not been informed of or consented to the fact that the property will immediately be flipped to Party C for more than the short sale lender has accepted in the first escrow, or (iv) a lender in the second escrow has been deceived into loaning on property whose value has been artificially inflated</w:t>
      </w:r>
      <w:r w:rsidR="00BE0D88">
        <w:rPr>
          <w:rFonts w:ascii="Times New Roman" w:hAnsi="Times New Roman" w:cs="Times New Roman"/>
          <w:sz w:val="24"/>
          <w:szCs w:val="24"/>
        </w:rPr>
        <w:t xml:space="preserve"> by a series of sales between related or fabricated parties</w:t>
      </w:r>
      <w:r w:rsidR="00201DBB">
        <w:rPr>
          <w:rFonts w:ascii="Times New Roman" w:hAnsi="Times New Roman" w:cs="Times New Roman"/>
          <w:sz w:val="24"/>
          <w:szCs w:val="24"/>
        </w:rPr>
        <w:t>.</w:t>
      </w:r>
    </w:p>
    <w:p w:rsidR="00201DBB" w:rsidRDefault="00201DBB" w:rsidP="00B03CA5">
      <w:pPr>
        <w:spacing w:after="0" w:line="240" w:lineRule="auto"/>
        <w:rPr>
          <w:rFonts w:ascii="Times New Roman" w:hAnsi="Times New Roman" w:cs="Times New Roman"/>
          <w:sz w:val="24"/>
          <w:szCs w:val="24"/>
        </w:rPr>
      </w:pPr>
    </w:p>
    <w:p w:rsidR="00201DBB" w:rsidRPr="00645710" w:rsidRDefault="00201DBB" w:rsidP="00B03CA5">
      <w:pPr>
        <w:spacing w:after="0" w:line="240" w:lineRule="auto"/>
        <w:rPr>
          <w:rFonts w:ascii="Times New Roman" w:hAnsi="Times New Roman" w:cs="Times New Roman"/>
          <w:b/>
          <w:sz w:val="24"/>
          <w:szCs w:val="24"/>
        </w:rPr>
      </w:pPr>
      <w:r w:rsidRPr="00645710">
        <w:rPr>
          <w:rFonts w:ascii="Times New Roman" w:hAnsi="Times New Roman" w:cs="Times New Roman"/>
          <w:b/>
          <w:sz w:val="24"/>
          <w:szCs w:val="24"/>
        </w:rPr>
        <w:t xml:space="preserve">For this reason, every transaction </w:t>
      </w:r>
      <w:r w:rsidR="00743DA4" w:rsidRPr="00645710">
        <w:rPr>
          <w:rFonts w:ascii="Times New Roman" w:hAnsi="Times New Roman" w:cs="Times New Roman"/>
          <w:b/>
          <w:sz w:val="24"/>
          <w:szCs w:val="24"/>
        </w:rPr>
        <w:t xml:space="preserve">involving </w:t>
      </w:r>
      <w:r w:rsidRPr="00645710">
        <w:rPr>
          <w:rFonts w:ascii="Times New Roman" w:hAnsi="Times New Roman" w:cs="Times New Roman"/>
          <w:b/>
          <w:sz w:val="24"/>
          <w:szCs w:val="24"/>
        </w:rPr>
        <w:t>double escrow</w:t>
      </w:r>
      <w:r w:rsidR="00743DA4" w:rsidRPr="00645710">
        <w:rPr>
          <w:rFonts w:ascii="Times New Roman" w:hAnsi="Times New Roman" w:cs="Times New Roman"/>
          <w:b/>
          <w:sz w:val="24"/>
          <w:szCs w:val="24"/>
        </w:rPr>
        <w:t>s</w:t>
      </w:r>
      <w:r w:rsidRPr="00645710">
        <w:rPr>
          <w:rFonts w:ascii="Times New Roman" w:hAnsi="Times New Roman" w:cs="Times New Roman"/>
          <w:b/>
          <w:sz w:val="24"/>
          <w:szCs w:val="24"/>
        </w:rPr>
        <w:t xml:space="preserve"> needs to be individually reviewed and approved </w:t>
      </w:r>
      <w:r w:rsidR="009E4D8E">
        <w:rPr>
          <w:rFonts w:ascii="Times New Roman" w:hAnsi="Times New Roman" w:cs="Times New Roman"/>
          <w:b/>
          <w:sz w:val="24"/>
          <w:szCs w:val="24"/>
        </w:rPr>
        <w:t xml:space="preserve">in writing </w:t>
      </w:r>
      <w:r w:rsidRPr="00645710">
        <w:rPr>
          <w:rFonts w:ascii="Times New Roman" w:hAnsi="Times New Roman" w:cs="Times New Roman"/>
          <w:b/>
          <w:sz w:val="24"/>
          <w:szCs w:val="24"/>
        </w:rPr>
        <w:t xml:space="preserve">by underwriting before we will agree to </w:t>
      </w:r>
      <w:r w:rsidR="000E198C">
        <w:rPr>
          <w:rFonts w:ascii="Times New Roman" w:hAnsi="Times New Roman" w:cs="Times New Roman"/>
          <w:b/>
          <w:sz w:val="24"/>
          <w:szCs w:val="24"/>
        </w:rPr>
        <w:t xml:space="preserve">close or </w:t>
      </w:r>
      <w:bookmarkStart w:id="0" w:name="_GoBack"/>
      <w:bookmarkEnd w:id="0"/>
      <w:r w:rsidRPr="00645710">
        <w:rPr>
          <w:rFonts w:ascii="Times New Roman" w:hAnsi="Times New Roman" w:cs="Times New Roman"/>
          <w:b/>
          <w:sz w:val="24"/>
          <w:szCs w:val="24"/>
        </w:rPr>
        <w:t>insure it.</w:t>
      </w:r>
    </w:p>
    <w:p w:rsidR="00D37D78" w:rsidRDefault="00D37D78" w:rsidP="00B03CA5">
      <w:pPr>
        <w:spacing w:after="0" w:line="240" w:lineRule="auto"/>
        <w:rPr>
          <w:rFonts w:ascii="Times New Roman" w:hAnsi="Times New Roman" w:cs="Times New Roman"/>
          <w:sz w:val="24"/>
          <w:szCs w:val="24"/>
        </w:rPr>
      </w:pPr>
    </w:p>
    <w:p w:rsidR="00D37D78" w:rsidRPr="00EE4A43" w:rsidRDefault="00EE4A43" w:rsidP="00EE4A43">
      <w:pPr>
        <w:spacing w:after="0" w:line="240" w:lineRule="auto"/>
        <w:rPr>
          <w:rFonts w:ascii="Times New Roman" w:hAnsi="Times New Roman" w:cs="Times New Roman"/>
          <w:sz w:val="24"/>
          <w:szCs w:val="24"/>
        </w:rPr>
      </w:pPr>
      <w:r w:rsidRPr="00EE4A43">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D37D78" w:rsidRPr="00EE4A43">
        <w:rPr>
          <w:rFonts w:ascii="Times New Roman" w:hAnsi="Times New Roman" w:cs="Times New Roman"/>
          <w:sz w:val="24"/>
          <w:szCs w:val="24"/>
        </w:rPr>
        <w:t xml:space="preserve">If there is evidence or </w:t>
      </w:r>
      <w:r w:rsidR="00CA7963" w:rsidRPr="00EE4A43">
        <w:rPr>
          <w:rFonts w:ascii="Times New Roman" w:hAnsi="Times New Roman" w:cs="Times New Roman"/>
          <w:sz w:val="24"/>
          <w:szCs w:val="24"/>
        </w:rPr>
        <w:t>a reasonable</w:t>
      </w:r>
      <w:r w:rsidR="00D37D78" w:rsidRPr="00EE4A43">
        <w:rPr>
          <w:rFonts w:ascii="Times New Roman" w:hAnsi="Times New Roman" w:cs="Times New Roman"/>
          <w:sz w:val="24"/>
          <w:szCs w:val="24"/>
        </w:rPr>
        <w:t xml:space="preserve"> suspicion of fraud, overreaching or deception, we will not </w:t>
      </w:r>
      <w:r w:rsidR="001E0D6D">
        <w:rPr>
          <w:rFonts w:ascii="Times New Roman" w:hAnsi="Times New Roman" w:cs="Times New Roman"/>
          <w:sz w:val="24"/>
          <w:szCs w:val="24"/>
        </w:rPr>
        <w:t xml:space="preserve">close or </w:t>
      </w:r>
      <w:r w:rsidR="00D37D78" w:rsidRPr="00EE4A43">
        <w:rPr>
          <w:rFonts w:ascii="Times New Roman" w:hAnsi="Times New Roman" w:cs="Times New Roman"/>
          <w:sz w:val="24"/>
          <w:szCs w:val="24"/>
        </w:rPr>
        <w:t>insure the transaction.</w:t>
      </w:r>
    </w:p>
    <w:p w:rsidR="00D37D78" w:rsidRDefault="00D37D78" w:rsidP="00B03CA5">
      <w:pPr>
        <w:spacing w:after="0" w:line="240" w:lineRule="auto"/>
        <w:rPr>
          <w:rFonts w:ascii="Times New Roman" w:hAnsi="Times New Roman" w:cs="Times New Roman"/>
          <w:sz w:val="24"/>
          <w:szCs w:val="24"/>
        </w:rPr>
      </w:pPr>
    </w:p>
    <w:p w:rsidR="00D37D78" w:rsidRDefault="00EE4A43" w:rsidP="00B03C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37D78">
        <w:rPr>
          <w:rFonts w:ascii="Times New Roman" w:hAnsi="Times New Roman" w:cs="Times New Roman"/>
          <w:sz w:val="24"/>
          <w:szCs w:val="24"/>
        </w:rPr>
        <w:t xml:space="preserve">If there is no evidence </w:t>
      </w:r>
      <w:r w:rsidR="00CA7963">
        <w:rPr>
          <w:rFonts w:ascii="Times New Roman" w:hAnsi="Times New Roman" w:cs="Times New Roman"/>
          <w:sz w:val="24"/>
          <w:szCs w:val="24"/>
        </w:rPr>
        <w:t xml:space="preserve">or reasonable suspicion </w:t>
      </w:r>
      <w:r w:rsidR="00D37D78">
        <w:rPr>
          <w:rFonts w:ascii="Times New Roman" w:hAnsi="Times New Roman" w:cs="Times New Roman"/>
          <w:sz w:val="24"/>
          <w:szCs w:val="24"/>
        </w:rPr>
        <w:t xml:space="preserve">of fraud, overreaching or deception, we will consider </w:t>
      </w:r>
      <w:r w:rsidR="001E0D6D">
        <w:rPr>
          <w:rFonts w:ascii="Times New Roman" w:hAnsi="Times New Roman" w:cs="Times New Roman"/>
          <w:sz w:val="24"/>
          <w:szCs w:val="24"/>
        </w:rPr>
        <w:t>handling</w:t>
      </w:r>
      <w:r w:rsidR="00D37D78">
        <w:rPr>
          <w:rFonts w:ascii="Times New Roman" w:hAnsi="Times New Roman" w:cs="Times New Roman"/>
          <w:sz w:val="24"/>
          <w:szCs w:val="24"/>
        </w:rPr>
        <w:t xml:space="preserve"> the transaction</w:t>
      </w:r>
      <w:r w:rsidR="009A21EA">
        <w:rPr>
          <w:rFonts w:ascii="Times New Roman" w:hAnsi="Times New Roman" w:cs="Times New Roman"/>
          <w:sz w:val="24"/>
          <w:szCs w:val="24"/>
        </w:rPr>
        <w:t>,</w:t>
      </w:r>
      <w:r w:rsidR="001E0D6D">
        <w:rPr>
          <w:rFonts w:ascii="Times New Roman" w:hAnsi="Times New Roman" w:cs="Times New Roman"/>
          <w:sz w:val="24"/>
          <w:szCs w:val="24"/>
        </w:rPr>
        <w:t xml:space="preserve"> with approval more likely if</w:t>
      </w:r>
      <w:r w:rsidR="009A21EA">
        <w:rPr>
          <w:rFonts w:ascii="Times New Roman" w:hAnsi="Times New Roman" w:cs="Times New Roman"/>
          <w:sz w:val="24"/>
          <w:szCs w:val="24"/>
        </w:rPr>
        <w:t xml:space="preserve"> at least 90 days have transpired since the closing of the first escrow, the purchase price in the second escrow is no more than 120% of the sale price in the first escrow, and/or </w:t>
      </w:r>
      <w:r w:rsidR="00D37D78">
        <w:rPr>
          <w:rFonts w:ascii="Times New Roman" w:hAnsi="Times New Roman" w:cs="Times New Roman"/>
          <w:sz w:val="24"/>
          <w:szCs w:val="24"/>
        </w:rPr>
        <w:t>there is full and complete disclosure to all parties involved</w:t>
      </w:r>
      <w:r w:rsidR="001E0D6D">
        <w:rPr>
          <w:rFonts w:ascii="Times New Roman" w:hAnsi="Times New Roman" w:cs="Times New Roman"/>
          <w:sz w:val="24"/>
          <w:szCs w:val="24"/>
        </w:rPr>
        <w:t>. Expect that full disclosure would include</w:t>
      </w:r>
      <w:r w:rsidR="00D37D78">
        <w:rPr>
          <w:rFonts w:ascii="Times New Roman" w:hAnsi="Times New Roman" w:cs="Times New Roman"/>
          <w:sz w:val="24"/>
          <w:szCs w:val="24"/>
        </w:rPr>
        <w:t>:</w:t>
      </w:r>
    </w:p>
    <w:p w:rsidR="00D37D78" w:rsidRDefault="00D37D78" w:rsidP="00B03CA5">
      <w:pPr>
        <w:spacing w:after="0" w:line="240" w:lineRule="auto"/>
        <w:rPr>
          <w:rFonts w:ascii="Times New Roman" w:hAnsi="Times New Roman" w:cs="Times New Roman"/>
          <w:sz w:val="24"/>
          <w:szCs w:val="24"/>
        </w:rPr>
      </w:pPr>
    </w:p>
    <w:p w:rsidR="00D37D78" w:rsidRDefault="00D37D78" w:rsidP="00D37D7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 disclosure to </w:t>
      </w:r>
      <w:r w:rsidR="005C052D">
        <w:rPr>
          <w:rFonts w:ascii="Times New Roman" w:hAnsi="Times New Roman" w:cs="Times New Roman"/>
          <w:sz w:val="24"/>
          <w:szCs w:val="24"/>
        </w:rPr>
        <w:t xml:space="preserve">and written acknowledgment from both </w:t>
      </w:r>
      <w:r>
        <w:rPr>
          <w:rFonts w:ascii="Times New Roman" w:hAnsi="Times New Roman" w:cs="Times New Roman"/>
          <w:sz w:val="24"/>
          <w:szCs w:val="24"/>
        </w:rPr>
        <w:t xml:space="preserve">the seller in the first escrow (Party B) </w:t>
      </w:r>
      <w:r w:rsidR="005C052D">
        <w:rPr>
          <w:rFonts w:ascii="Times New Roman" w:hAnsi="Times New Roman" w:cs="Times New Roman"/>
          <w:sz w:val="24"/>
          <w:szCs w:val="24"/>
        </w:rPr>
        <w:t xml:space="preserve">and any lender being paid off in the first escrow </w:t>
      </w:r>
      <w:r>
        <w:rPr>
          <w:rFonts w:ascii="Times New Roman" w:hAnsi="Times New Roman" w:cs="Times New Roman"/>
          <w:sz w:val="24"/>
          <w:szCs w:val="24"/>
        </w:rPr>
        <w:t>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existence of the </w:t>
      </w:r>
      <w:r w:rsidR="005C052D">
        <w:rPr>
          <w:rFonts w:ascii="Times New Roman" w:hAnsi="Times New Roman" w:cs="Times New Roman"/>
          <w:sz w:val="24"/>
          <w:szCs w:val="24"/>
        </w:rPr>
        <w:t>second</w:t>
      </w:r>
      <w:r>
        <w:rPr>
          <w:rFonts w:ascii="Times New Roman" w:hAnsi="Times New Roman" w:cs="Times New Roman"/>
          <w:sz w:val="24"/>
          <w:szCs w:val="24"/>
        </w:rPr>
        <w:t xml:space="preserve"> escrow, (ii) the price for which the property is being sold in the second escrow, and (iii)</w:t>
      </w:r>
      <w:r w:rsidR="00E54941">
        <w:rPr>
          <w:rFonts w:ascii="Times New Roman" w:hAnsi="Times New Roman" w:cs="Times New Roman"/>
          <w:sz w:val="24"/>
          <w:szCs w:val="24"/>
        </w:rPr>
        <w:t xml:space="preserve"> the fact that the funds to complete the first escrow are coming from and contingent upon the closing of the second escrow.</w:t>
      </w:r>
    </w:p>
    <w:p w:rsidR="005C052D" w:rsidRDefault="005C052D" w:rsidP="005C052D">
      <w:pPr>
        <w:spacing w:after="0" w:line="240" w:lineRule="auto"/>
        <w:rPr>
          <w:rFonts w:ascii="Times New Roman" w:hAnsi="Times New Roman" w:cs="Times New Roman"/>
          <w:sz w:val="24"/>
          <w:szCs w:val="24"/>
        </w:rPr>
      </w:pPr>
    </w:p>
    <w:p w:rsidR="002605D5" w:rsidRDefault="005C052D" w:rsidP="002605D5">
      <w:pPr>
        <w:pStyle w:val="ListParagraph"/>
        <w:numPr>
          <w:ilvl w:val="0"/>
          <w:numId w:val="17"/>
        </w:numPr>
        <w:spacing w:after="0" w:line="240" w:lineRule="auto"/>
        <w:rPr>
          <w:rFonts w:ascii="Times New Roman" w:hAnsi="Times New Roman" w:cs="Times New Roman"/>
          <w:sz w:val="24"/>
          <w:szCs w:val="24"/>
        </w:rPr>
      </w:pPr>
      <w:r w:rsidRPr="002605D5">
        <w:rPr>
          <w:rFonts w:ascii="Times New Roman" w:hAnsi="Times New Roman" w:cs="Times New Roman"/>
          <w:sz w:val="24"/>
          <w:szCs w:val="24"/>
        </w:rPr>
        <w:t>Full disclosure to and written acknowledgment from both the buyer in the second escrow (Party C) and any lender making a loan in the second escrow of (</w:t>
      </w:r>
      <w:proofErr w:type="spellStart"/>
      <w:r w:rsidRPr="002605D5">
        <w:rPr>
          <w:rFonts w:ascii="Times New Roman" w:hAnsi="Times New Roman" w:cs="Times New Roman"/>
          <w:sz w:val="24"/>
          <w:szCs w:val="24"/>
        </w:rPr>
        <w:t>i</w:t>
      </w:r>
      <w:proofErr w:type="spellEnd"/>
      <w:r w:rsidRPr="002605D5">
        <w:rPr>
          <w:rFonts w:ascii="Times New Roman" w:hAnsi="Times New Roman" w:cs="Times New Roman"/>
          <w:sz w:val="24"/>
          <w:szCs w:val="24"/>
        </w:rPr>
        <w:t>) the existence of the first escrow, (ii) the price for which the property is being sold in the first escrow, and (iii) the fact that the funds to complete the first escrow are coming from and contingent upon the closing of the second escrow.</w:t>
      </w:r>
    </w:p>
    <w:p w:rsidR="002605D5" w:rsidRDefault="002605D5" w:rsidP="002605D5">
      <w:pPr>
        <w:spacing w:after="0" w:line="240" w:lineRule="auto"/>
        <w:rPr>
          <w:rFonts w:ascii="Times New Roman" w:hAnsi="Times New Roman" w:cs="Times New Roman"/>
          <w:sz w:val="24"/>
          <w:szCs w:val="24"/>
        </w:rPr>
      </w:pPr>
    </w:p>
    <w:p w:rsidR="002605D5" w:rsidRPr="002605D5" w:rsidRDefault="002605D5" w:rsidP="00260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than any such acknowledgements must come </w:t>
      </w:r>
      <w:r w:rsidRPr="00EE4A43">
        <w:rPr>
          <w:rFonts w:ascii="Times New Roman" w:hAnsi="Times New Roman" w:cs="Times New Roman"/>
          <w:sz w:val="24"/>
          <w:szCs w:val="24"/>
          <w:u w:val="single"/>
        </w:rPr>
        <w:t xml:space="preserve">directly </w:t>
      </w:r>
      <w:r>
        <w:rPr>
          <w:rFonts w:ascii="Times New Roman" w:hAnsi="Times New Roman" w:cs="Times New Roman"/>
          <w:sz w:val="24"/>
          <w:szCs w:val="24"/>
        </w:rPr>
        <w:t>from the seller, bu</w:t>
      </w:r>
      <w:r w:rsidR="00B63F70">
        <w:rPr>
          <w:rFonts w:ascii="Times New Roman" w:hAnsi="Times New Roman" w:cs="Times New Roman"/>
          <w:sz w:val="24"/>
          <w:szCs w:val="24"/>
        </w:rPr>
        <w:t>y</w:t>
      </w:r>
      <w:r>
        <w:rPr>
          <w:rFonts w:ascii="Times New Roman" w:hAnsi="Times New Roman" w:cs="Times New Roman"/>
          <w:sz w:val="24"/>
          <w:szCs w:val="24"/>
        </w:rPr>
        <w:t>er or lender, as applicable, and not from their representatives (i.e. real estate agents, mortgage brokers, etc.)</w:t>
      </w:r>
    </w:p>
    <w:p w:rsidR="005C052D" w:rsidRDefault="005C052D" w:rsidP="005C052D">
      <w:pPr>
        <w:spacing w:after="0" w:line="240" w:lineRule="auto"/>
        <w:rPr>
          <w:rFonts w:ascii="Times New Roman" w:hAnsi="Times New Roman" w:cs="Times New Roman"/>
          <w:sz w:val="24"/>
          <w:szCs w:val="24"/>
        </w:rPr>
      </w:pPr>
    </w:p>
    <w:p w:rsidR="00A71801" w:rsidRPr="00EE4A43" w:rsidRDefault="00EE4A43" w:rsidP="00EE4A43">
      <w:pPr>
        <w:spacing w:after="0" w:line="240" w:lineRule="auto"/>
        <w:rPr>
          <w:rFonts w:ascii="Times New Roman" w:hAnsi="Times New Roman" w:cs="Times New Roman"/>
          <w:sz w:val="24"/>
          <w:szCs w:val="24"/>
        </w:rPr>
      </w:pPr>
      <w:r w:rsidRPr="00EE4A43">
        <w:rPr>
          <w:rFonts w:ascii="Times New Roman" w:hAnsi="Times New Roman" w:cs="Times New Roman"/>
          <w:sz w:val="24"/>
          <w:szCs w:val="24"/>
        </w:rPr>
        <w:t>3.</w:t>
      </w:r>
      <w:r>
        <w:rPr>
          <w:rFonts w:ascii="Times New Roman" w:hAnsi="Times New Roman" w:cs="Times New Roman"/>
          <w:sz w:val="24"/>
          <w:szCs w:val="24"/>
        </w:rPr>
        <w:t xml:space="preserve"> </w:t>
      </w:r>
      <w:r w:rsidR="00CF6A95" w:rsidRPr="00EE4A43">
        <w:rPr>
          <w:rFonts w:ascii="Times New Roman" w:hAnsi="Times New Roman" w:cs="Times New Roman"/>
          <w:sz w:val="24"/>
          <w:szCs w:val="24"/>
        </w:rPr>
        <w:t>In addition, since many deed</w:t>
      </w:r>
      <w:r w:rsidR="009A21EA" w:rsidRPr="00EE4A43">
        <w:rPr>
          <w:rFonts w:ascii="Times New Roman" w:hAnsi="Times New Roman" w:cs="Times New Roman"/>
          <w:sz w:val="24"/>
          <w:szCs w:val="24"/>
        </w:rPr>
        <w:t>s</w:t>
      </w:r>
      <w:r w:rsidR="00CF6A95" w:rsidRPr="00EE4A43">
        <w:rPr>
          <w:rFonts w:ascii="Times New Roman" w:hAnsi="Times New Roman" w:cs="Times New Roman"/>
          <w:sz w:val="24"/>
          <w:szCs w:val="24"/>
        </w:rPr>
        <w:t xml:space="preserve"> from short sale lenders contain a deed restriction that prohibits the property from being </w:t>
      </w:r>
      <w:proofErr w:type="gramStart"/>
      <w:r w:rsidR="00CF6A95" w:rsidRPr="00EE4A43">
        <w:rPr>
          <w:rFonts w:ascii="Times New Roman" w:hAnsi="Times New Roman" w:cs="Times New Roman"/>
          <w:sz w:val="24"/>
          <w:szCs w:val="24"/>
        </w:rPr>
        <w:t>resold/flipped</w:t>
      </w:r>
      <w:proofErr w:type="gramEnd"/>
      <w:r w:rsidR="00CF6A95" w:rsidRPr="00EE4A43">
        <w:rPr>
          <w:rFonts w:ascii="Times New Roman" w:hAnsi="Times New Roman" w:cs="Times New Roman"/>
          <w:sz w:val="24"/>
          <w:szCs w:val="24"/>
        </w:rPr>
        <w:t xml:space="preserve"> for a fixed period of time, </w:t>
      </w:r>
      <w:r w:rsidR="003C5385" w:rsidRPr="00EE4A43">
        <w:rPr>
          <w:rFonts w:ascii="Times New Roman" w:hAnsi="Times New Roman" w:cs="Times New Roman"/>
          <w:sz w:val="24"/>
          <w:szCs w:val="24"/>
        </w:rPr>
        <w:t>underwriting will</w:t>
      </w:r>
      <w:r w:rsidR="00B63F70" w:rsidRPr="00EE4A43">
        <w:rPr>
          <w:rFonts w:ascii="Times New Roman" w:hAnsi="Times New Roman" w:cs="Times New Roman"/>
          <w:sz w:val="24"/>
          <w:szCs w:val="24"/>
        </w:rPr>
        <w:t xml:space="preserve"> </w:t>
      </w:r>
      <w:r w:rsidR="00CF6A95" w:rsidRPr="00EE4A43">
        <w:rPr>
          <w:rFonts w:ascii="Times New Roman" w:hAnsi="Times New Roman" w:cs="Times New Roman"/>
          <w:sz w:val="24"/>
          <w:szCs w:val="24"/>
        </w:rPr>
        <w:t>review recent vesting deeds to insure that no such restrictions apply to the transaction in question.</w:t>
      </w:r>
    </w:p>
    <w:p w:rsidR="00546A66" w:rsidRDefault="00546A66" w:rsidP="00B03CA5">
      <w:pPr>
        <w:spacing w:after="0" w:line="240" w:lineRule="auto"/>
        <w:rPr>
          <w:rFonts w:ascii="Times New Roman" w:hAnsi="Times New Roman" w:cs="Times New Roman"/>
          <w:sz w:val="24"/>
          <w:szCs w:val="24"/>
        </w:rPr>
      </w:pPr>
    </w:p>
    <w:p w:rsidR="00546A66" w:rsidRPr="00EE4A43" w:rsidRDefault="00EE4A43" w:rsidP="00EE4A43">
      <w:pPr>
        <w:spacing w:after="0" w:line="240" w:lineRule="auto"/>
        <w:rPr>
          <w:rFonts w:ascii="Times New Roman" w:eastAsia="Times New Roman" w:hAnsi="Times New Roman" w:cs="Times New Roman"/>
          <w:sz w:val="24"/>
          <w:szCs w:val="24"/>
        </w:rPr>
      </w:pPr>
      <w:r w:rsidRPr="00EE4A43">
        <w:rPr>
          <w:rFonts w:ascii="Times New Roman" w:hAnsi="Times New Roman" w:cs="Times New Roman"/>
          <w:sz w:val="24"/>
          <w:szCs w:val="24"/>
        </w:rPr>
        <w:t>4.</w:t>
      </w:r>
      <w:r>
        <w:rPr>
          <w:rFonts w:ascii="Times New Roman" w:hAnsi="Times New Roman" w:cs="Times New Roman"/>
          <w:sz w:val="24"/>
          <w:szCs w:val="24"/>
        </w:rPr>
        <w:t xml:space="preserve"> </w:t>
      </w:r>
      <w:r w:rsidR="00546A66" w:rsidRPr="00EE4A43">
        <w:rPr>
          <w:rFonts w:ascii="Times New Roman" w:hAnsi="Times New Roman" w:cs="Times New Roman"/>
          <w:sz w:val="24"/>
          <w:szCs w:val="24"/>
        </w:rPr>
        <w:t xml:space="preserve">If approved by underwriting, in addition to any requirements imposed by underwriting, </w:t>
      </w:r>
      <w:r w:rsidR="00B63F70" w:rsidRPr="00EE4A43">
        <w:rPr>
          <w:rFonts w:ascii="Times New Roman" w:hAnsi="Times New Roman" w:cs="Times New Roman"/>
          <w:sz w:val="24"/>
          <w:szCs w:val="24"/>
        </w:rPr>
        <w:t xml:space="preserve">you should ensure that </w:t>
      </w:r>
      <w:r w:rsidR="00546A66" w:rsidRPr="00EE4A43">
        <w:rPr>
          <w:rFonts w:ascii="Times New Roman" w:hAnsi="Times New Roman" w:cs="Times New Roman"/>
          <w:sz w:val="24"/>
          <w:szCs w:val="24"/>
        </w:rPr>
        <w:t xml:space="preserve">there </w:t>
      </w:r>
      <w:r w:rsidR="00B63F70" w:rsidRPr="00EE4A43">
        <w:rPr>
          <w:rFonts w:ascii="Times New Roman" w:hAnsi="Times New Roman" w:cs="Times New Roman"/>
          <w:sz w:val="24"/>
          <w:szCs w:val="24"/>
        </w:rPr>
        <w:t>are</w:t>
      </w:r>
      <w:r w:rsidR="00546A66" w:rsidRPr="00EE4A43">
        <w:rPr>
          <w:rFonts w:ascii="Times New Roman" w:hAnsi="Times New Roman" w:cs="Times New Roman"/>
          <w:sz w:val="24"/>
          <w:szCs w:val="24"/>
        </w:rPr>
        <w:t xml:space="preserve"> two separate settlement statements, one for each of the two transactions taking place. In addition, if there is no actual cash being brought in by the middle man (Party A in the example above) to acquire the property in the first escrow, but the funds are actually coming from a loan put in place for the second escrow, the settlement statements must accurately reflect the same.</w:t>
      </w:r>
    </w:p>
    <w:p w:rsidR="00A5575E" w:rsidRDefault="00A5575E" w:rsidP="00B03CA5">
      <w:pPr>
        <w:spacing w:after="0" w:line="240" w:lineRule="auto"/>
        <w:rPr>
          <w:rFonts w:ascii="Times New Roman" w:eastAsia="Times New Roman" w:hAnsi="Times New Roman" w:cs="Times New Roman"/>
          <w:sz w:val="24"/>
          <w:szCs w:val="24"/>
        </w:rPr>
      </w:pPr>
    </w:p>
    <w:p w:rsidR="009C75F6" w:rsidRPr="005E459B" w:rsidRDefault="009C75F6" w:rsidP="00CF6A95">
      <w:pPr>
        <w:spacing w:after="0" w:line="240" w:lineRule="auto"/>
        <w:rPr>
          <w:rFonts w:ascii="Times New Roman" w:eastAsia="Times New Roman" w:hAnsi="Times New Roman" w:cs="Times New Roman"/>
          <w:sz w:val="24"/>
          <w:szCs w:val="24"/>
        </w:rPr>
      </w:pPr>
      <w:r w:rsidRPr="005E459B">
        <w:rPr>
          <w:rFonts w:ascii="Times New Roman" w:eastAsia="Times New Roman" w:hAnsi="Times New Roman" w:cs="Times New Roman"/>
          <w:sz w:val="24"/>
          <w:szCs w:val="24"/>
        </w:rPr>
        <w:t>If you have any questions related to this Bulletin, please contact your local WFG underwriting personnel.</w:t>
      </w:r>
    </w:p>
    <w:p w:rsidR="009C75F6" w:rsidRPr="005E459B" w:rsidRDefault="009C75F6" w:rsidP="00CF6A95">
      <w:pPr>
        <w:spacing w:after="0" w:line="240" w:lineRule="auto"/>
        <w:rPr>
          <w:rFonts w:ascii="Times New Roman" w:eastAsia="Times New Roman" w:hAnsi="Times New Roman" w:cs="Times New Roman"/>
          <w:sz w:val="24"/>
          <w:szCs w:val="24"/>
        </w:rPr>
      </w:pPr>
    </w:p>
    <w:p w:rsidR="009C75F6" w:rsidRDefault="009C75F6" w:rsidP="00CF6A95">
      <w:pPr>
        <w:spacing w:after="0" w:line="240" w:lineRule="auto"/>
        <w:rPr>
          <w:rFonts w:ascii="Times New Roman" w:eastAsia="Times New Roman" w:hAnsi="Times New Roman" w:cs="Times New Roman"/>
          <w:b/>
          <w:sz w:val="24"/>
          <w:szCs w:val="24"/>
        </w:rPr>
      </w:pPr>
    </w:p>
    <w:p w:rsidR="004972EE" w:rsidRPr="004972EE" w:rsidRDefault="009C75F6" w:rsidP="00FC6167">
      <w:pPr>
        <w:spacing w:after="0" w:line="240" w:lineRule="auto"/>
        <w:rPr>
          <w:rFonts w:ascii="Times New Roman" w:eastAsia="Times New Roman" w:hAnsi="Times New Roman" w:cs="Times New Roman"/>
          <w:sz w:val="24"/>
          <w:szCs w:val="24"/>
        </w:rPr>
      </w:pPr>
      <w:r w:rsidRPr="00CE473E">
        <w:rPr>
          <w:rFonts w:ascii="Times New Roman" w:eastAsia="Times New Roman" w:hAnsi="Times New Roman" w:cs="Times New Roman"/>
          <w:b/>
          <w:i/>
          <w:sz w:val="28"/>
          <w:szCs w:val="28"/>
        </w:rPr>
        <w:t>THIS BULLETIN IS A CONFIDENTIAL COMMUNICATION BETWEEN WFG AND THE ADDRESSEE</w:t>
      </w:r>
      <w:r w:rsidR="00CE473E" w:rsidRPr="00CE473E">
        <w:rPr>
          <w:rFonts w:ascii="Times New Roman" w:eastAsia="Times New Roman" w:hAnsi="Times New Roman" w:cs="Times New Roman"/>
          <w:b/>
          <w:i/>
          <w:sz w:val="28"/>
          <w:szCs w:val="28"/>
        </w:rPr>
        <w:t xml:space="preserve"> AND IS INTENDED ONLY FOR WFG’S INTERNAL USE</w:t>
      </w:r>
      <w:r w:rsidRPr="00CE473E">
        <w:rPr>
          <w:rFonts w:ascii="Times New Roman" w:eastAsia="Times New Roman" w:hAnsi="Times New Roman" w:cs="Times New Roman"/>
          <w:b/>
          <w:i/>
          <w:sz w:val="28"/>
          <w:szCs w:val="28"/>
        </w:rPr>
        <w:t xml:space="preserve">. WFG DOES NOT AUTHORIZE THE DISCLOSURE OF THIS COMMUNICATION TO ANY THIRD PARTY </w:t>
      </w:r>
      <w:r w:rsidR="00CE473E" w:rsidRPr="00CE473E">
        <w:rPr>
          <w:rFonts w:ascii="Times New Roman" w:eastAsia="Times New Roman" w:hAnsi="Times New Roman" w:cs="Times New Roman"/>
          <w:b/>
          <w:i/>
          <w:sz w:val="28"/>
          <w:szCs w:val="28"/>
        </w:rPr>
        <w:t xml:space="preserve">IN ANY MANNER </w:t>
      </w:r>
      <w:r w:rsidRPr="00CE473E">
        <w:rPr>
          <w:rFonts w:ascii="Times New Roman" w:eastAsia="Times New Roman" w:hAnsi="Times New Roman" w:cs="Times New Roman"/>
          <w:b/>
          <w:i/>
          <w:sz w:val="28"/>
          <w:szCs w:val="28"/>
        </w:rPr>
        <w:t xml:space="preserve">WITHOUT </w:t>
      </w:r>
      <w:r w:rsidR="00CE473E" w:rsidRPr="00CE473E">
        <w:rPr>
          <w:rFonts w:ascii="Times New Roman" w:eastAsia="Times New Roman" w:hAnsi="Times New Roman" w:cs="Times New Roman"/>
          <w:b/>
          <w:i/>
          <w:sz w:val="28"/>
          <w:szCs w:val="28"/>
        </w:rPr>
        <w:t>WFG’S</w:t>
      </w:r>
      <w:r w:rsidRPr="00CE473E">
        <w:rPr>
          <w:rFonts w:ascii="Times New Roman" w:eastAsia="Times New Roman" w:hAnsi="Times New Roman" w:cs="Times New Roman"/>
          <w:b/>
          <w:i/>
          <w:sz w:val="28"/>
          <w:szCs w:val="28"/>
        </w:rPr>
        <w:t xml:space="preserve"> PRIOR WRITTEN CONSENT.</w:t>
      </w:r>
    </w:p>
    <w:p w:rsidR="00B97BD7" w:rsidRPr="00B97BD7" w:rsidRDefault="00B97BD7" w:rsidP="00CF6A95">
      <w:pPr>
        <w:spacing w:after="0" w:line="240" w:lineRule="auto"/>
        <w:rPr>
          <w:rFonts w:ascii="Times New Roman" w:eastAsia="Times New Roman" w:hAnsi="Times New Roman" w:cs="Times New Roman"/>
          <w:sz w:val="24"/>
          <w:szCs w:val="24"/>
        </w:rPr>
      </w:pPr>
    </w:p>
    <w:p w:rsidR="00B03CA5" w:rsidRPr="00B03CA5" w:rsidRDefault="00B03CA5" w:rsidP="00CF6A95">
      <w:pPr>
        <w:rPr>
          <w:rFonts w:ascii="Times New Roman" w:hAnsi="Times New Roman" w:cs="Times New Roman"/>
          <w:b/>
          <w:sz w:val="24"/>
          <w:szCs w:val="24"/>
        </w:rPr>
      </w:pPr>
    </w:p>
    <w:sectPr w:rsidR="00B03CA5" w:rsidRPr="00B03C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81" w:rsidRDefault="00032481" w:rsidP="00A5575E">
      <w:pPr>
        <w:spacing w:after="0" w:line="240" w:lineRule="auto"/>
      </w:pPr>
      <w:r>
        <w:separator/>
      </w:r>
    </w:p>
  </w:endnote>
  <w:endnote w:type="continuationSeparator" w:id="0">
    <w:p w:rsidR="00032481" w:rsidRDefault="00032481"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B1" w:rsidRDefault="003359B1">
    <w:pPr>
      <w:pStyle w:val="Footer"/>
    </w:pPr>
    <w:r>
      <w:t>WFG Oregon Underwriting Bulletin 2013-2-RJH</w:t>
    </w:r>
  </w:p>
  <w:p w:rsidR="003359B1" w:rsidRDefault="0033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81" w:rsidRDefault="00032481" w:rsidP="00A5575E">
      <w:pPr>
        <w:spacing w:after="0" w:line="240" w:lineRule="auto"/>
      </w:pPr>
      <w:r>
        <w:separator/>
      </w:r>
    </w:p>
  </w:footnote>
  <w:footnote w:type="continuationSeparator" w:id="0">
    <w:p w:rsidR="00032481" w:rsidRDefault="00032481"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943"/>
    <w:multiLevelType w:val="hybridMultilevel"/>
    <w:tmpl w:val="4D1C9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672889"/>
    <w:multiLevelType w:val="hybridMultilevel"/>
    <w:tmpl w:val="B1D6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9"/>
  </w:num>
  <w:num w:numId="4">
    <w:abstractNumId w:val="2"/>
  </w:num>
  <w:num w:numId="5">
    <w:abstractNumId w:val="17"/>
  </w:num>
  <w:num w:numId="6">
    <w:abstractNumId w:val="8"/>
  </w:num>
  <w:num w:numId="7">
    <w:abstractNumId w:val="5"/>
  </w:num>
  <w:num w:numId="8">
    <w:abstractNumId w:val="7"/>
  </w:num>
  <w:num w:numId="9">
    <w:abstractNumId w:val="12"/>
  </w:num>
  <w:num w:numId="10">
    <w:abstractNumId w:val="3"/>
  </w:num>
  <w:num w:numId="11">
    <w:abstractNumId w:val="6"/>
  </w:num>
  <w:num w:numId="12">
    <w:abstractNumId w:val="10"/>
  </w:num>
  <w:num w:numId="13">
    <w:abstractNumId w:val="13"/>
  </w:num>
  <w:num w:numId="14">
    <w:abstractNumId w:val="1"/>
  </w:num>
  <w:num w:numId="15">
    <w:abstractNumId w:val="15"/>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21258"/>
    <w:rsid w:val="00032481"/>
    <w:rsid w:val="00050517"/>
    <w:rsid w:val="000A7209"/>
    <w:rsid w:val="000B2DAC"/>
    <w:rsid w:val="000B5A0A"/>
    <w:rsid w:val="000C0D6F"/>
    <w:rsid w:val="000C1A32"/>
    <w:rsid w:val="000E198C"/>
    <w:rsid w:val="00100DDA"/>
    <w:rsid w:val="00150B51"/>
    <w:rsid w:val="001763B6"/>
    <w:rsid w:val="001A29CD"/>
    <w:rsid w:val="001C4917"/>
    <w:rsid w:val="001E0D6D"/>
    <w:rsid w:val="001E616B"/>
    <w:rsid w:val="00201DBB"/>
    <w:rsid w:val="00224356"/>
    <w:rsid w:val="002538C0"/>
    <w:rsid w:val="00253AC9"/>
    <w:rsid w:val="002605D5"/>
    <w:rsid w:val="002C3780"/>
    <w:rsid w:val="002D6058"/>
    <w:rsid w:val="002E4E9D"/>
    <w:rsid w:val="00304006"/>
    <w:rsid w:val="003359B1"/>
    <w:rsid w:val="00340EF4"/>
    <w:rsid w:val="00353EDB"/>
    <w:rsid w:val="00364F18"/>
    <w:rsid w:val="00395410"/>
    <w:rsid w:val="003C5385"/>
    <w:rsid w:val="003E35F4"/>
    <w:rsid w:val="003E7A6D"/>
    <w:rsid w:val="0043022A"/>
    <w:rsid w:val="00431D5F"/>
    <w:rsid w:val="0046427B"/>
    <w:rsid w:val="00473FA2"/>
    <w:rsid w:val="00494A86"/>
    <w:rsid w:val="004972EE"/>
    <w:rsid w:val="004A11C5"/>
    <w:rsid w:val="00546A66"/>
    <w:rsid w:val="005C052D"/>
    <w:rsid w:val="005C2E2B"/>
    <w:rsid w:val="005E459B"/>
    <w:rsid w:val="006020AB"/>
    <w:rsid w:val="00645710"/>
    <w:rsid w:val="00652546"/>
    <w:rsid w:val="00665DD7"/>
    <w:rsid w:val="00673A7A"/>
    <w:rsid w:val="006B0634"/>
    <w:rsid w:val="006F5231"/>
    <w:rsid w:val="00743DA4"/>
    <w:rsid w:val="007B05AA"/>
    <w:rsid w:val="007F0DC8"/>
    <w:rsid w:val="007F286B"/>
    <w:rsid w:val="008C4405"/>
    <w:rsid w:val="008E48E0"/>
    <w:rsid w:val="00930982"/>
    <w:rsid w:val="00935430"/>
    <w:rsid w:val="00956D2D"/>
    <w:rsid w:val="00971583"/>
    <w:rsid w:val="009733AB"/>
    <w:rsid w:val="00986B54"/>
    <w:rsid w:val="00987B91"/>
    <w:rsid w:val="00996D30"/>
    <w:rsid w:val="009A21EA"/>
    <w:rsid w:val="009B02DB"/>
    <w:rsid w:val="009B3525"/>
    <w:rsid w:val="009C75F6"/>
    <w:rsid w:val="009E4D8E"/>
    <w:rsid w:val="00A156CE"/>
    <w:rsid w:val="00A26040"/>
    <w:rsid w:val="00A3060B"/>
    <w:rsid w:val="00A45C07"/>
    <w:rsid w:val="00A52176"/>
    <w:rsid w:val="00A5575E"/>
    <w:rsid w:val="00A71801"/>
    <w:rsid w:val="00AA2DEA"/>
    <w:rsid w:val="00AA666F"/>
    <w:rsid w:val="00B03CA5"/>
    <w:rsid w:val="00B63F70"/>
    <w:rsid w:val="00B766E3"/>
    <w:rsid w:val="00B97BD7"/>
    <w:rsid w:val="00BE0D88"/>
    <w:rsid w:val="00BF6B12"/>
    <w:rsid w:val="00C678C2"/>
    <w:rsid w:val="00CA7963"/>
    <w:rsid w:val="00CD3CAF"/>
    <w:rsid w:val="00CE473E"/>
    <w:rsid w:val="00CF55BE"/>
    <w:rsid w:val="00CF6A95"/>
    <w:rsid w:val="00D07D66"/>
    <w:rsid w:val="00D37D78"/>
    <w:rsid w:val="00D4396D"/>
    <w:rsid w:val="00DC1098"/>
    <w:rsid w:val="00DC2188"/>
    <w:rsid w:val="00DD1051"/>
    <w:rsid w:val="00E003B6"/>
    <w:rsid w:val="00E022C8"/>
    <w:rsid w:val="00E34DF6"/>
    <w:rsid w:val="00E3519A"/>
    <w:rsid w:val="00E431EC"/>
    <w:rsid w:val="00E54941"/>
    <w:rsid w:val="00ED120B"/>
    <w:rsid w:val="00EE4A43"/>
    <w:rsid w:val="00F15BAD"/>
    <w:rsid w:val="00F3053C"/>
    <w:rsid w:val="00F90E7B"/>
    <w:rsid w:val="00FB529F"/>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character" w:styleId="Hyperlink">
    <w:name w:val="Hyperlink"/>
    <w:basedOn w:val="DefaultParagraphFont"/>
    <w:uiPriority w:val="99"/>
    <w:semiHidden/>
    <w:unhideWhenUsed/>
    <w:rsid w:val="00A71801"/>
    <w:rPr>
      <w:color w:val="0000FF"/>
      <w:u w:val="single"/>
    </w:rPr>
  </w:style>
  <w:style w:type="paragraph" w:styleId="Header">
    <w:name w:val="header"/>
    <w:basedOn w:val="Normal"/>
    <w:link w:val="HeaderChar"/>
    <w:uiPriority w:val="99"/>
    <w:unhideWhenUsed/>
    <w:rsid w:val="003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1"/>
  </w:style>
  <w:style w:type="paragraph" w:styleId="Footer">
    <w:name w:val="footer"/>
    <w:basedOn w:val="Normal"/>
    <w:link w:val="FooterChar"/>
    <w:uiPriority w:val="99"/>
    <w:unhideWhenUsed/>
    <w:rsid w:val="003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character" w:styleId="Hyperlink">
    <w:name w:val="Hyperlink"/>
    <w:basedOn w:val="DefaultParagraphFont"/>
    <w:uiPriority w:val="99"/>
    <w:semiHidden/>
    <w:unhideWhenUsed/>
    <w:rsid w:val="00A71801"/>
    <w:rPr>
      <w:color w:val="0000FF"/>
      <w:u w:val="single"/>
    </w:rPr>
  </w:style>
  <w:style w:type="paragraph" w:styleId="Header">
    <w:name w:val="header"/>
    <w:basedOn w:val="Normal"/>
    <w:link w:val="HeaderChar"/>
    <w:uiPriority w:val="99"/>
    <w:unhideWhenUsed/>
    <w:rsid w:val="003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1"/>
  </w:style>
  <w:style w:type="paragraph" w:styleId="Footer">
    <w:name w:val="footer"/>
    <w:basedOn w:val="Normal"/>
    <w:link w:val="FooterChar"/>
    <w:uiPriority w:val="99"/>
    <w:unhideWhenUsed/>
    <w:rsid w:val="003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28</cp:revision>
  <cp:lastPrinted>2013-10-22T22:44:00Z</cp:lastPrinted>
  <dcterms:created xsi:type="dcterms:W3CDTF">2013-10-22T21:28:00Z</dcterms:created>
  <dcterms:modified xsi:type="dcterms:W3CDTF">2013-10-29T15:27:00Z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0FAA2wh0bY8CfKs6VlvuJUN+AtNH7inbn92dt+Rd93PRH/gdpZh1p11DokS9Ip3Z96KJQiqYUsCqGsrv
RcZSiWHRidTYZA4vwzyY1mHX8BD5o63J+EkGE9BiDg+x8djTdXAJv3W8/etZHY3vRcZSiWHRidTY
ZA4vwzyY1mHX8BD5o63J+EkGE9BiDrFMNj/T+Fjrw/fuM5Bh+uw1VbgiBMPeMb2tFXe/pKYVa0vW
ZgHNYBw25T4NfMo2j</vt:lpwstr>
  </property>
  <property fmtid="{D5CDD505-2E9C-101B-9397-08002B2CF9AE}" pid="3" name="RESPONSE_SENDER_NAME">
    <vt:lpwstr>sAAA4E8dREqJqIp6ZhWa5G+ZouSnRV0DeciMR6yyApJTkFs=</vt:lpwstr>
  </property>
  <property fmtid="{D5CDD505-2E9C-101B-9397-08002B2CF9AE}" pid="4" name="EMAIL_OWNER_ADDRESS">
    <vt:lpwstr>ABAAgoCixPcRe8lKc0rHmozXwRaoC9lK/TWUsebiQ1mOmuqoHBoO50HrEvhNn2/UbAqs</vt:lpwstr>
  </property>
  <property fmtid="{D5CDD505-2E9C-101B-9397-08002B2CF9AE}" pid="5" name="MAIL_MSG_ID2">
    <vt:lpwstr>W+dqlupyxLAZMDScF12KGIbVuYFs5b1kqBVfrFwIxi0rE1oczIMRse+uJrN
TqvGtvAPF5IBXkAyJ7krOpGjiAnAAfqLxAG2cIRVrWMRe82mrMvAkCNo35Q=</vt:lpwstr>
  </property>
</Properties>
</file>